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CCFF" w14:textId="411166B1" w:rsidR="001D48D8" w:rsidRPr="001D48D8" w:rsidRDefault="001D48D8" w:rsidP="001D48D8">
      <w:pPr>
        <w:shd w:val="clear" w:color="auto" w:fill="F5FBFF"/>
        <w:spacing w:before="480" w:after="0" w:line="510" w:lineRule="atLeast"/>
        <w:textAlignment w:val="baseline"/>
        <w:outlineLvl w:val="1"/>
        <w:rPr>
          <w:rFonts w:ascii="GentiumBookBasic" w:eastAsia="Times New Roman" w:hAnsi="GentiumBookBasic" w:cs="Times New Roman"/>
          <w:b/>
          <w:bCs/>
          <w:color w:val="000000"/>
          <w:sz w:val="48"/>
          <w:szCs w:val="48"/>
          <w:lang w:eastAsia="it-IT"/>
        </w:rPr>
      </w:pPr>
      <w:r w:rsidRPr="001D48D8">
        <w:rPr>
          <w:rFonts w:ascii="GentiumBookBasic" w:eastAsia="Times New Roman" w:hAnsi="GentiumBookBasic" w:cs="Times New Roman"/>
          <w:b/>
          <w:bCs/>
          <w:color w:val="000000"/>
          <w:sz w:val="48"/>
          <w:szCs w:val="48"/>
          <w:lang w:eastAsia="it-IT"/>
        </w:rPr>
        <w:t>Efficienza energetica e detrazioni fiscali</w:t>
      </w:r>
    </w:p>
    <w:p w14:paraId="539D6EE3" w14:textId="77777777" w:rsidR="001D48D8" w:rsidRPr="001D48D8" w:rsidRDefault="001D48D8" w:rsidP="001D48D8">
      <w:pPr>
        <w:shd w:val="clear" w:color="auto" w:fill="F5FBFF"/>
        <w:spacing w:before="480" w:after="0" w:line="510" w:lineRule="atLeast"/>
        <w:textAlignment w:val="baseline"/>
        <w:outlineLvl w:val="1"/>
        <w:rPr>
          <w:rFonts w:ascii="GentiumBookBasic" w:eastAsia="Times New Roman" w:hAnsi="GentiumBookBasic" w:cs="Times New Roman"/>
          <w:b/>
          <w:bCs/>
          <w:color w:val="000000"/>
          <w:sz w:val="42"/>
          <w:szCs w:val="42"/>
          <w:lang w:eastAsia="it-IT"/>
        </w:rPr>
      </w:pPr>
    </w:p>
    <w:p w14:paraId="7470EA43" w14:textId="77777777" w:rsidR="001D48D8" w:rsidRPr="001D48D8" w:rsidRDefault="001D48D8" w:rsidP="001D48D8">
      <w:pPr>
        <w:shd w:val="clear" w:color="auto" w:fill="F5FBFF"/>
        <w:spacing w:after="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L’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ENEA – 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Agenzia nazionale per le nuove tecnologie, l’energia e lo sviluppo economico sostenibile – ha presentato il 9° Rapporto annuale sull’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efficienza energetica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 e l’11° Rapporto annuale sulle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 detrazioni fiscali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 per la riqualificazione energetica del patrimonio edilizio esistente (Ecobonus e Bonus casa). Si tratta di un ambito molto importante, basti pensare che negli ultimi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10 anni gli interventi di riqualificazione 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energetica hanno generato:</w:t>
      </w:r>
    </w:p>
    <w:p w14:paraId="2AD7F3E4" w14:textId="77777777" w:rsidR="001D48D8" w:rsidRPr="001D48D8" w:rsidRDefault="001D48D8" w:rsidP="001D48D8">
      <w:pPr>
        <w:numPr>
          <w:ilvl w:val="0"/>
          <w:numId w:val="1"/>
        </w:numPr>
        <w:shd w:val="clear" w:color="auto" w:fill="F5FBFF"/>
        <w:spacing w:after="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circa 39 miliardi di euro di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investimenti</w:t>
      </w: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 e ogni anno;</w:t>
      </w:r>
    </w:p>
    <w:p w14:paraId="39B44CDE" w14:textId="77777777" w:rsidR="001D48D8" w:rsidRPr="001D48D8" w:rsidRDefault="001D48D8" w:rsidP="001D48D8">
      <w:pPr>
        <w:numPr>
          <w:ilvl w:val="0"/>
          <w:numId w:val="1"/>
        </w:numPr>
        <w:shd w:val="clear" w:color="auto" w:fill="F5FBFF"/>
        <w:spacing w:after="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270 mila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posti di lavoro</w:t>
      </w: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 diretti.</w:t>
      </w:r>
    </w:p>
    <w:p w14:paraId="54F5AEB9" w14:textId="77777777" w:rsidR="001D48D8" w:rsidRPr="001D48D8" w:rsidRDefault="001D48D8" w:rsidP="001D48D8">
      <w:pPr>
        <w:shd w:val="clear" w:color="auto" w:fill="F5FBFF"/>
        <w:spacing w:after="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Vediamo una sintesi di cosa emerso con focus particolare sugli obiettivi e le prospettive del nuovo meccanismo del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Superbonus 110%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, istituito nell’ambito del Decreto Rilancio (DL n. 34 del 19 maggio 2020, art. 119) a sostegno dell’economia italiana all’indomani della crisi dovuta all’emergenza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Coronavirus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.</w:t>
      </w:r>
    </w:p>
    <w:p w14:paraId="40817410" w14:textId="77777777" w:rsidR="001D48D8" w:rsidRPr="001D48D8" w:rsidRDefault="001D48D8" w:rsidP="001D48D8">
      <w:pPr>
        <w:shd w:val="clear" w:color="auto" w:fill="F5FBFF"/>
        <w:spacing w:before="480" w:after="0" w:line="510" w:lineRule="atLeast"/>
        <w:textAlignment w:val="baseline"/>
        <w:outlineLvl w:val="1"/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</w:pPr>
      <w:r w:rsidRPr="001D48D8"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  <w:t>Rapporto sull’Efficienza Energetica</w:t>
      </w:r>
    </w:p>
    <w:p w14:paraId="414E53D8" w14:textId="77777777" w:rsidR="001D48D8" w:rsidRPr="001D48D8" w:rsidRDefault="001D48D8" w:rsidP="001D48D8">
      <w:pPr>
        <w:shd w:val="clear" w:color="auto" w:fill="F5FBFF"/>
        <w:spacing w:after="360" w:line="39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Il 9° Rapporto Annuale sull’Efficienza Energetica dell’ENEA:</w:t>
      </w:r>
    </w:p>
    <w:p w14:paraId="74F34AA0" w14:textId="77777777" w:rsidR="001D48D8" w:rsidRPr="001D48D8" w:rsidRDefault="001D48D8" w:rsidP="001D48D8">
      <w:pPr>
        <w:numPr>
          <w:ilvl w:val="0"/>
          <w:numId w:val="2"/>
        </w:numPr>
        <w:shd w:val="clear" w:color="auto" w:fill="F5FBFF"/>
        <w:spacing w:after="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analizza le politiche e gli strumenti attuati per migliorare l’efficienza negli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 usi finali</w:t>
      </w: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;</w:t>
      </w:r>
    </w:p>
    <w:p w14:paraId="3482CF11" w14:textId="77777777" w:rsidR="001D48D8" w:rsidRPr="001D48D8" w:rsidRDefault="001D48D8" w:rsidP="001D48D8">
      <w:pPr>
        <w:numPr>
          <w:ilvl w:val="0"/>
          <w:numId w:val="2"/>
        </w:numPr>
        <w:shd w:val="clear" w:color="auto" w:fill="F5FBFF"/>
        <w:spacing w:after="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analizza le relative connessioni con il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contesto economico</w:t>
      </w: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 e lo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sviluppo tecnologico</w:t>
      </w: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;</w:t>
      </w:r>
    </w:p>
    <w:p w14:paraId="194E8B3B" w14:textId="77777777" w:rsidR="001D48D8" w:rsidRPr="001D48D8" w:rsidRDefault="001D48D8" w:rsidP="001D48D8">
      <w:pPr>
        <w:numPr>
          <w:ilvl w:val="0"/>
          <w:numId w:val="2"/>
        </w:numPr>
        <w:shd w:val="clear" w:color="auto" w:fill="F5FBFF"/>
        <w:spacing w:after="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fornisce una fotografia dello stato dell’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efficienza</w:t>
      </w: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 energetica a livello nazionale;</w:t>
      </w:r>
    </w:p>
    <w:p w14:paraId="754017EB" w14:textId="77777777" w:rsidR="001D48D8" w:rsidRPr="001D48D8" w:rsidRDefault="001D48D8" w:rsidP="001D48D8">
      <w:pPr>
        <w:numPr>
          <w:ilvl w:val="0"/>
          <w:numId w:val="2"/>
        </w:numPr>
        <w:shd w:val="clear" w:color="auto" w:fill="F5FBFF"/>
        <w:spacing w:after="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offre, vista l’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emergenza sanitaria</w:t>
      </w: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 di quest’anno, una attenta rilettura in chiave di “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Green Recovery</w:t>
      </w: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” e di contributo alla ripartenza economica del Paese.</w:t>
      </w:r>
    </w:p>
    <w:p w14:paraId="36E28922" w14:textId="3C8A38C0" w:rsidR="001D48D8" w:rsidRDefault="001D48D8" w:rsidP="001D48D8">
      <w:pPr>
        <w:shd w:val="clear" w:color="auto" w:fill="F5FBFF"/>
        <w:spacing w:line="39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 </w:t>
      </w:r>
    </w:p>
    <w:p w14:paraId="1DAFF199" w14:textId="77777777" w:rsidR="001D48D8" w:rsidRPr="001D48D8" w:rsidRDefault="001D48D8" w:rsidP="001D48D8">
      <w:pPr>
        <w:shd w:val="clear" w:color="auto" w:fill="F5FBFF"/>
        <w:spacing w:line="39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</w:p>
    <w:p w14:paraId="4FBF43E5" w14:textId="77777777" w:rsidR="001D48D8" w:rsidRPr="001D48D8" w:rsidRDefault="001D48D8" w:rsidP="001D48D8">
      <w:pPr>
        <w:shd w:val="clear" w:color="auto" w:fill="F5FBFF"/>
        <w:spacing w:before="480" w:after="0" w:line="510" w:lineRule="atLeast"/>
        <w:textAlignment w:val="baseline"/>
        <w:outlineLvl w:val="1"/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</w:pPr>
      <w:r w:rsidRPr="001D48D8"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  <w:lastRenderedPageBreak/>
        <w:t>L’Ecobonus a 13 anni dall’esordio</w:t>
      </w:r>
    </w:p>
    <w:p w14:paraId="779C8ACB" w14:textId="77777777" w:rsidR="001D48D8" w:rsidRPr="001D48D8" w:rsidRDefault="001D48D8" w:rsidP="001D48D8">
      <w:pPr>
        <w:shd w:val="clear" w:color="auto" w:fill="F5FBFF"/>
        <w:spacing w:after="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Dall’11° Rapporto annuale sulle detrazioni fiscali per la riqualificazione energetica e l’utilizzo delle fonti rinnovabili di energia negli edifici esistenti (Dati 2019) emerge che agevolazioni come l’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Ecobonus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, il meccanismo per incentivare l’efficienza energetica negli usi finali introdotto nel 2007, sono state in grado di:</w:t>
      </w:r>
    </w:p>
    <w:p w14:paraId="4B858F72" w14:textId="77777777" w:rsidR="001D48D8" w:rsidRPr="001D48D8" w:rsidRDefault="001D48D8" w:rsidP="001D48D8">
      <w:pPr>
        <w:numPr>
          <w:ilvl w:val="0"/>
          <w:numId w:val="3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generare un risparmio complessivo di circa 17.700 GWh/anno, di cui poco più di 1.250 GWh/anno nel 2019;</w:t>
      </w:r>
    </w:p>
    <w:p w14:paraId="5DDCF270" w14:textId="77777777" w:rsidR="001D48D8" w:rsidRPr="001D48D8" w:rsidRDefault="001D48D8" w:rsidP="001D48D8">
      <w:pPr>
        <w:numPr>
          <w:ilvl w:val="0"/>
          <w:numId w:val="3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far investire alle famiglie italiane 3,5 miliardi di euro per realizzare oltre 395 mila interventi di riqualificazione energetica, con un risparmio di circa 1.250 GWh/anno;</w:t>
      </w:r>
    </w:p>
    <w:p w14:paraId="004D8D5B" w14:textId="77777777" w:rsidR="001D48D8" w:rsidRPr="001D48D8" w:rsidRDefault="001D48D8" w:rsidP="001D48D8">
      <w:pPr>
        <w:numPr>
          <w:ilvl w:val="0"/>
          <w:numId w:val="3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far risparmiare, nel solo 2019, 250 milioni di euro sulla bolletta energetica nazionale;</w:t>
      </w:r>
    </w:p>
    <w:p w14:paraId="3A34874B" w14:textId="77777777" w:rsidR="001D48D8" w:rsidRPr="001D48D8" w:rsidRDefault="001D48D8" w:rsidP="001D48D8">
      <w:pPr>
        <w:numPr>
          <w:ilvl w:val="0"/>
          <w:numId w:val="3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ridurre le emissioni di CO2 di oltre 2,9 milioni di tonnellate.</w:t>
      </w:r>
    </w:p>
    <w:p w14:paraId="587098F1" w14:textId="77777777" w:rsidR="001D48D8" w:rsidRPr="001D48D8" w:rsidRDefault="001D48D8" w:rsidP="001D48D8">
      <w:pPr>
        <w:shd w:val="clear" w:color="auto" w:fill="F5FBFF"/>
        <w:spacing w:before="480" w:after="0" w:line="510" w:lineRule="atLeast"/>
        <w:textAlignment w:val="baseline"/>
        <w:outlineLvl w:val="1"/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</w:pPr>
      <w:r w:rsidRPr="001D48D8"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  <w:t>Ecobonus: quali interventi</w:t>
      </w:r>
    </w:p>
    <w:p w14:paraId="72A82858" w14:textId="77777777" w:rsidR="001D48D8" w:rsidRPr="001D48D8" w:rsidRDefault="001D48D8" w:rsidP="001D48D8">
      <w:pPr>
        <w:shd w:val="clear" w:color="auto" w:fill="F5FBFF"/>
        <w:spacing w:after="36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Gli interventi effettuati riguardano prevalentemente:</w:t>
      </w:r>
    </w:p>
    <w:p w14:paraId="3820AD28" w14:textId="77777777" w:rsidR="001D48D8" w:rsidRPr="001D48D8" w:rsidRDefault="001D48D8" w:rsidP="001D48D8">
      <w:pPr>
        <w:numPr>
          <w:ilvl w:val="0"/>
          <w:numId w:val="4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la sostituzione dei serramenti (1,3 miliardi di spesa);</w:t>
      </w:r>
    </w:p>
    <w:p w14:paraId="589FB4AA" w14:textId="77777777" w:rsidR="001D48D8" w:rsidRPr="001D48D8" w:rsidRDefault="001D48D8" w:rsidP="001D48D8">
      <w:pPr>
        <w:numPr>
          <w:ilvl w:val="0"/>
          <w:numId w:val="4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l’installazione di caldaie a condensazione e pompe di calore per il riscaldamento invernale (circa 1 miliardo di euro);</w:t>
      </w:r>
    </w:p>
    <w:p w14:paraId="01E2D57F" w14:textId="77777777" w:rsidR="001D48D8" w:rsidRPr="001D48D8" w:rsidRDefault="001D48D8" w:rsidP="001D48D8">
      <w:pPr>
        <w:numPr>
          <w:ilvl w:val="0"/>
          <w:numId w:val="4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la coibentazione di solai e pareti (oltre 650 milioni);</w:t>
      </w:r>
    </w:p>
    <w:p w14:paraId="762526A6" w14:textId="77777777" w:rsidR="001D48D8" w:rsidRPr="001D48D8" w:rsidRDefault="001D48D8" w:rsidP="001D48D8">
      <w:pPr>
        <w:numPr>
          <w:ilvl w:val="0"/>
          <w:numId w:val="4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la riqualificazione globale degli immobili (231 milioni);</w:t>
      </w:r>
    </w:p>
    <w:p w14:paraId="0A48B362" w14:textId="77777777" w:rsidR="001D48D8" w:rsidRPr="001D48D8" w:rsidRDefault="001D48D8" w:rsidP="001D48D8">
      <w:pPr>
        <w:numPr>
          <w:ilvl w:val="0"/>
          <w:numId w:val="4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le schermature solari (133 milioni).</w:t>
      </w:r>
    </w:p>
    <w:p w14:paraId="10B923B6" w14:textId="77777777" w:rsidR="001D48D8" w:rsidRPr="001D48D8" w:rsidRDefault="001D48D8" w:rsidP="001D48D8">
      <w:pPr>
        <w:shd w:val="clear" w:color="auto" w:fill="F5FBFF"/>
        <w:spacing w:before="480" w:after="0" w:line="510" w:lineRule="atLeast"/>
        <w:textAlignment w:val="baseline"/>
        <w:outlineLvl w:val="1"/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</w:pPr>
      <w:r w:rsidRPr="001D48D8"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  <w:t>Il contributo del Bonus casa</w:t>
      </w:r>
    </w:p>
    <w:p w14:paraId="299BB10B" w14:textId="77777777" w:rsidR="001D48D8" w:rsidRPr="001D48D8" w:rsidRDefault="001D48D8" w:rsidP="001D48D8">
      <w:pPr>
        <w:shd w:val="clear" w:color="auto" w:fill="F5FBFF"/>
        <w:spacing w:after="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Nel 2019, il cosiddetto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Bonus casa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 (detrazione al 50%) ha generato:</w:t>
      </w:r>
    </w:p>
    <w:p w14:paraId="54E3C81D" w14:textId="77777777" w:rsidR="001D48D8" w:rsidRPr="001D48D8" w:rsidRDefault="001D48D8" w:rsidP="001D48D8">
      <w:pPr>
        <w:numPr>
          <w:ilvl w:val="0"/>
          <w:numId w:val="5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circa 600 mila interventi;</w:t>
      </w:r>
    </w:p>
    <w:p w14:paraId="4180E790" w14:textId="77777777" w:rsidR="001D48D8" w:rsidRPr="001D48D8" w:rsidRDefault="001D48D8" w:rsidP="001D48D8">
      <w:pPr>
        <w:numPr>
          <w:ilvl w:val="0"/>
          <w:numId w:val="5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un risparmio complessivo che supera gli 840 GWh/anno.</w:t>
      </w:r>
    </w:p>
    <w:p w14:paraId="09404FCA" w14:textId="77777777" w:rsidR="001D48D8" w:rsidRPr="001D48D8" w:rsidRDefault="001D48D8" w:rsidP="001D48D8">
      <w:pPr>
        <w:shd w:val="clear" w:color="auto" w:fill="F5FBFF"/>
        <w:spacing w:after="36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lastRenderedPageBreak/>
        <w:t>Per comprendere l’importanza di questi numeri, l’ENEA fa notare che in Europa il patrimonio edilizio è responsabile:</w:t>
      </w:r>
    </w:p>
    <w:p w14:paraId="0341AF02" w14:textId="77777777" w:rsidR="001D48D8" w:rsidRPr="001D48D8" w:rsidRDefault="001D48D8" w:rsidP="001D48D8">
      <w:pPr>
        <w:numPr>
          <w:ilvl w:val="0"/>
          <w:numId w:val="6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di circa il 40% dei consumi complessivi di energia;</w:t>
      </w:r>
    </w:p>
    <w:p w14:paraId="09E3A32A" w14:textId="77777777" w:rsidR="001D48D8" w:rsidRPr="001D48D8" w:rsidRDefault="001D48D8" w:rsidP="001D48D8">
      <w:pPr>
        <w:numPr>
          <w:ilvl w:val="0"/>
          <w:numId w:val="6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del 36% delle emissioni di gas serra.</w:t>
      </w:r>
    </w:p>
    <w:p w14:paraId="29E647EB" w14:textId="77777777" w:rsidR="001D48D8" w:rsidRPr="001D48D8" w:rsidRDefault="001D48D8" w:rsidP="001D48D8">
      <w:pPr>
        <w:shd w:val="clear" w:color="auto" w:fill="F5FBFF"/>
        <w:spacing w:before="480" w:after="0" w:line="510" w:lineRule="atLeast"/>
        <w:textAlignment w:val="baseline"/>
        <w:outlineLvl w:val="1"/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</w:pPr>
      <w:r w:rsidRPr="001D48D8"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  <w:t>Conto termico ed efficienza imprese</w:t>
      </w:r>
    </w:p>
    <w:p w14:paraId="0261D060" w14:textId="77777777" w:rsidR="001D48D8" w:rsidRPr="001D48D8" w:rsidRDefault="001D48D8" w:rsidP="001D48D8">
      <w:pPr>
        <w:shd w:val="clear" w:color="auto" w:fill="F5FBFF"/>
        <w:spacing w:after="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Ottimi anche i risultati ottenuti dal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conto termico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, destinato principalmente a iniziative per l’efficienza e per le rinnovabili nella PA.</w:t>
      </w:r>
    </w:p>
    <w:p w14:paraId="7D83A9B8" w14:textId="77777777" w:rsidR="001D48D8" w:rsidRPr="001D48D8" w:rsidRDefault="001D48D8" w:rsidP="001D48D8">
      <w:pPr>
        <w:shd w:val="clear" w:color="auto" w:fill="F5FBFF"/>
        <w:spacing w:after="36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Nel 2019 si registrano:</w:t>
      </w:r>
    </w:p>
    <w:p w14:paraId="3F12F68D" w14:textId="77777777" w:rsidR="001D48D8" w:rsidRPr="001D48D8" w:rsidRDefault="001D48D8" w:rsidP="001D48D8">
      <w:pPr>
        <w:numPr>
          <w:ilvl w:val="0"/>
          <w:numId w:val="7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un balzo in avanti del +68% rispetto al periodo 2013-2018;</w:t>
      </w:r>
    </w:p>
    <w:p w14:paraId="55894F9F" w14:textId="77777777" w:rsidR="001D48D8" w:rsidRPr="001D48D8" w:rsidRDefault="001D48D8" w:rsidP="001D48D8">
      <w:pPr>
        <w:numPr>
          <w:ilvl w:val="0"/>
          <w:numId w:val="7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114 mila richieste totali;</w:t>
      </w:r>
    </w:p>
    <w:p w14:paraId="0FC05CC8" w14:textId="77777777" w:rsidR="001D48D8" w:rsidRPr="001D48D8" w:rsidRDefault="001D48D8" w:rsidP="001D48D8">
      <w:pPr>
        <w:numPr>
          <w:ilvl w:val="0"/>
          <w:numId w:val="7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+29% rispetto al 2018 delle incentivazioni ottenute con un totale pari a 433 milioni di euro.</w:t>
      </w:r>
    </w:p>
    <w:p w14:paraId="61B42C36" w14:textId="017D7B39" w:rsidR="001D48D8" w:rsidRPr="001D48D8" w:rsidRDefault="001D48D8" w:rsidP="001D48D8">
      <w:pPr>
        <w:shd w:val="clear" w:color="auto" w:fill="F5FBFF"/>
        <w:spacing w:after="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I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certificati bianchi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, volti ad incentivare l’efficienza nelle imprese, hanno consentito di risparmiare oltre 3,1 Mtep</w:t>
      </w:r>
      <w:r w:rsidR="00787A03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 xml:space="preserve"> (milioni di tonnellate equivalenti di petrolio)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/anno dal 2011.</w:t>
      </w:r>
    </w:p>
    <w:p w14:paraId="6FA1F0B2" w14:textId="77777777" w:rsidR="001D48D8" w:rsidRPr="001D48D8" w:rsidRDefault="001D48D8" w:rsidP="001D48D8">
      <w:pPr>
        <w:shd w:val="clear" w:color="auto" w:fill="F5FBFF"/>
        <w:spacing w:before="480" w:after="0" w:line="510" w:lineRule="atLeast"/>
        <w:textAlignment w:val="baseline"/>
        <w:outlineLvl w:val="1"/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</w:pPr>
      <w:r w:rsidRPr="001D48D8"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  <w:t>Risparmio energetico: obiettivo centrato</w:t>
      </w:r>
    </w:p>
    <w:p w14:paraId="329BC112" w14:textId="77777777" w:rsidR="001D48D8" w:rsidRPr="001D48D8" w:rsidRDefault="001D48D8" w:rsidP="001D48D8">
      <w:pPr>
        <w:shd w:val="clear" w:color="auto" w:fill="F5FBFF"/>
        <w:spacing w:after="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Per quanto riguarda il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risparmio energetico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:</w:t>
      </w:r>
    </w:p>
    <w:p w14:paraId="1C4A924D" w14:textId="77777777" w:rsidR="001D48D8" w:rsidRPr="001D48D8" w:rsidRDefault="001D48D8" w:rsidP="001D48D8">
      <w:pPr>
        <w:numPr>
          <w:ilvl w:val="0"/>
          <w:numId w:val="8"/>
        </w:numPr>
        <w:shd w:val="clear" w:color="auto" w:fill="F5FBFF"/>
        <w:spacing w:after="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nel 2019 l’obiettivo indicato dal Piano d’Azione Nazionale per l’Efficienza Energetica e dalla Strategia Energetica Nazionale è stato centrato al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77,2%</w:t>
      </w: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;</w:t>
      </w:r>
    </w:p>
    <w:p w14:paraId="73DB67BD" w14:textId="77777777" w:rsidR="001D48D8" w:rsidRPr="001D48D8" w:rsidRDefault="001D48D8" w:rsidP="001D48D8">
      <w:pPr>
        <w:numPr>
          <w:ilvl w:val="0"/>
          <w:numId w:val="8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il residenziale ha già superato il target indicato;</w:t>
      </w:r>
    </w:p>
    <w:p w14:paraId="4327C0B6" w14:textId="77777777" w:rsidR="001D48D8" w:rsidRPr="001D48D8" w:rsidRDefault="001D48D8" w:rsidP="001D48D8">
      <w:pPr>
        <w:numPr>
          <w:ilvl w:val="0"/>
          <w:numId w:val="8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l’industria è al 61,9%;</w:t>
      </w:r>
    </w:p>
    <w:p w14:paraId="6718D41E" w14:textId="77777777" w:rsidR="001D48D8" w:rsidRPr="001D48D8" w:rsidRDefault="001D48D8" w:rsidP="001D48D8">
      <w:pPr>
        <w:numPr>
          <w:ilvl w:val="0"/>
          <w:numId w:val="8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i trasporti al 50,4%;</w:t>
      </w:r>
    </w:p>
    <w:p w14:paraId="3E8E601C" w14:textId="77777777" w:rsidR="001D48D8" w:rsidRPr="001D48D8" w:rsidRDefault="001D48D8" w:rsidP="001D48D8">
      <w:pPr>
        <w:numPr>
          <w:ilvl w:val="0"/>
          <w:numId w:val="8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il terziario, PA compresa, è a meno di un terzo dal target (29,4%).</w:t>
      </w:r>
    </w:p>
    <w:p w14:paraId="7709EA82" w14:textId="77777777" w:rsidR="001D48D8" w:rsidRPr="001D48D8" w:rsidRDefault="001D48D8" w:rsidP="001D48D8">
      <w:pPr>
        <w:shd w:val="clear" w:color="auto" w:fill="F5FBFF"/>
        <w:spacing w:after="36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noProof/>
          <w:color w:val="000000"/>
          <w:sz w:val="27"/>
          <w:szCs w:val="27"/>
          <w:lang w:eastAsia="it-IT"/>
        </w:rPr>
        <w:lastRenderedPageBreak/>
        <w:drawing>
          <wp:inline distT="0" distB="0" distL="0" distR="0" wp14:anchorId="2799CC91" wp14:editId="338C5939">
            <wp:extent cx="6391275" cy="53054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0D502" w14:textId="77777777" w:rsidR="001D48D8" w:rsidRPr="001D48D8" w:rsidRDefault="001D48D8" w:rsidP="001D48D8">
      <w:pPr>
        <w:pStyle w:val="Titolo2"/>
        <w:shd w:val="clear" w:color="auto" w:fill="F5FBFF"/>
        <w:spacing w:before="480" w:beforeAutospacing="0" w:after="0" w:afterAutospacing="0" w:line="510" w:lineRule="atLeast"/>
        <w:textAlignment w:val="baseline"/>
        <w:rPr>
          <w:rFonts w:ascii="GentiumBookBasic" w:hAnsi="GentiumBookBasic"/>
          <w:color w:val="000000"/>
          <w:sz w:val="32"/>
          <w:szCs w:val="32"/>
        </w:rPr>
      </w:pPr>
      <w:r w:rsidRPr="001D48D8">
        <w:rPr>
          <w:rFonts w:ascii="GentiumBookBasic" w:hAnsi="GentiumBookBasic"/>
          <w:color w:val="000000"/>
          <w:sz w:val="27"/>
          <w:szCs w:val="27"/>
        </w:rPr>
        <w:t> </w:t>
      </w:r>
      <w:r w:rsidRPr="001D48D8">
        <w:rPr>
          <w:rFonts w:ascii="GentiumBookBasic" w:hAnsi="GentiumBookBasic"/>
          <w:color w:val="000000"/>
          <w:sz w:val="32"/>
          <w:szCs w:val="32"/>
        </w:rPr>
        <w:t>Risparmio energetico: diagnosi fondamentale</w:t>
      </w:r>
    </w:p>
    <w:p w14:paraId="778884DD" w14:textId="77777777" w:rsidR="001D48D8" w:rsidRPr="001D48D8" w:rsidRDefault="001D48D8" w:rsidP="001D48D8">
      <w:pPr>
        <w:shd w:val="clear" w:color="auto" w:fill="F5FBFF"/>
        <w:spacing w:after="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A consentire il raggiungimento di questi importanti risultati sono state soprattutto le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diagnosi energetiche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, fondamentali per ottimizzare gli interventi di efficienza energetica nelle imprese.</w:t>
      </w:r>
    </w:p>
    <w:p w14:paraId="4B5E1C01" w14:textId="77777777" w:rsidR="001D48D8" w:rsidRPr="001D48D8" w:rsidRDefault="001D48D8" w:rsidP="001D48D8">
      <w:pPr>
        <w:shd w:val="clear" w:color="auto" w:fill="F5FBFF"/>
        <w:spacing w:after="36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A dicembre 2019 risultavano:</w:t>
      </w:r>
    </w:p>
    <w:p w14:paraId="746526CE" w14:textId="77777777" w:rsidR="001D48D8" w:rsidRPr="001D48D8" w:rsidRDefault="001D48D8" w:rsidP="001D48D8">
      <w:pPr>
        <w:numPr>
          <w:ilvl w:val="0"/>
          <w:numId w:val="9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presentate circa 11.200 diagnosi;</w:t>
      </w:r>
    </w:p>
    <w:p w14:paraId="678EA1DF" w14:textId="77777777" w:rsidR="001D48D8" w:rsidRPr="001D48D8" w:rsidRDefault="001D48D8" w:rsidP="001D48D8">
      <w:pPr>
        <w:numPr>
          <w:ilvl w:val="0"/>
          <w:numId w:val="9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un potenziale, effettuando concretamente gli interventi individuati, di risparmio totale di 3,7 Mtep/anno ripartiti soprattutto in minori consumi elettrici (29%), termici (7%) e di carburante (30%).</w:t>
      </w:r>
    </w:p>
    <w:p w14:paraId="64B2B5E2" w14:textId="77777777" w:rsidR="001D48D8" w:rsidRPr="001D48D8" w:rsidRDefault="001D48D8" w:rsidP="001D48D8">
      <w:pPr>
        <w:pStyle w:val="Titolo2"/>
        <w:shd w:val="clear" w:color="auto" w:fill="F5FBFF"/>
        <w:spacing w:before="480" w:beforeAutospacing="0" w:after="0" w:afterAutospacing="0" w:line="510" w:lineRule="atLeast"/>
        <w:textAlignment w:val="baseline"/>
        <w:rPr>
          <w:rFonts w:ascii="GentiumBookBasic" w:hAnsi="GentiumBookBasic"/>
          <w:color w:val="000000"/>
          <w:sz w:val="32"/>
          <w:szCs w:val="32"/>
        </w:rPr>
      </w:pPr>
      <w:r w:rsidRPr="001D48D8">
        <w:rPr>
          <w:rFonts w:ascii="GentiumBookBasic" w:hAnsi="GentiumBookBasic"/>
          <w:color w:val="000000"/>
          <w:sz w:val="32"/>
          <w:szCs w:val="32"/>
        </w:rPr>
        <w:lastRenderedPageBreak/>
        <w:t>Edifici in cerca di maggiore efficienza</w:t>
      </w:r>
    </w:p>
    <w:p w14:paraId="36F87D96" w14:textId="77777777" w:rsidR="001D48D8" w:rsidRDefault="001D48D8" w:rsidP="001D48D8">
      <w:pPr>
        <w:pStyle w:val="NormaleWeb"/>
        <w:numPr>
          <w:ilvl w:val="0"/>
          <w:numId w:val="9"/>
        </w:numPr>
        <w:shd w:val="clear" w:color="auto" w:fill="F5FBFF"/>
        <w:spacing w:before="0" w:beforeAutospacing="0" w:after="0" w:afterAutospacing="0" w:line="390" w:lineRule="atLeast"/>
        <w:textAlignment w:val="baseline"/>
        <w:rPr>
          <w:rFonts w:ascii="GentiumBookBasic" w:hAnsi="GentiumBookBasic"/>
          <w:color w:val="000000"/>
          <w:sz w:val="27"/>
          <w:szCs w:val="27"/>
        </w:rPr>
      </w:pPr>
      <w:r>
        <w:rPr>
          <w:rFonts w:ascii="GentiumBookBasic" w:hAnsi="GentiumBookBasic"/>
          <w:color w:val="000000"/>
          <w:sz w:val="27"/>
          <w:szCs w:val="27"/>
        </w:rPr>
        <w:t>Nonostante l’innovazione tecnologica negli ultimi anni abbia fatto notevoli passi in avanti, portando gli</w:t>
      </w:r>
      <w:r>
        <w:rPr>
          <w:rStyle w:val="Enfasigrassetto"/>
          <w:rFonts w:ascii="inherit" w:hAnsi="inherit"/>
          <w:color w:val="000000"/>
          <w:sz w:val="27"/>
          <w:szCs w:val="27"/>
          <w:bdr w:val="none" w:sz="0" w:space="0" w:color="auto" w:frame="1"/>
        </w:rPr>
        <w:t> edifici di nuova costruzione</w:t>
      </w:r>
      <w:r>
        <w:rPr>
          <w:rFonts w:ascii="GentiumBookBasic" w:hAnsi="GentiumBookBasic"/>
          <w:color w:val="000000"/>
          <w:sz w:val="27"/>
          <w:szCs w:val="27"/>
        </w:rPr>
        <w:t> a consumare circa la metà di energia rispetto agli immobili realizzati alla fine degli anni ’90, le proiezioni al 2050 parlano ancora di un 75% degli edifici scarsamente efficiente.</w:t>
      </w:r>
    </w:p>
    <w:p w14:paraId="75F6BF34" w14:textId="77777777" w:rsidR="001D48D8" w:rsidRDefault="001D48D8" w:rsidP="001D48D8">
      <w:pPr>
        <w:pStyle w:val="NormaleWeb"/>
        <w:numPr>
          <w:ilvl w:val="0"/>
          <w:numId w:val="9"/>
        </w:numPr>
        <w:shd w:val="clear" w:color="auto" w:fill="F5FBFF"/>
        <w:spacing w:before="0" w:beforeAutospacing="0" w:after="0" w:afterAutospacing="0" w:line="390" w:lineRule="atLeast"/>
        <w:textAlignment w:val="baseline"/>
        <w:rPr>
          <w:rFonts w:ascii="GentiumBookBasic" w:hAnsi="GentiumBookBasic"/>
          <w:color w:val="000000"/>
          <w:sz w:val="27"/>
          <w:szCs w:val="27"/>
        </w:rPr>
      </w:pPr>
      <w:r>
        <w:rPr>
          <w:rFonts w:ascii="GentiumBookBasic" w:hAnsi="GentiumBookBasic"/>
          <w:color w:val="000000"/>
          <w:sz w:val="27"/>
          <w:szCs w:val="27"/>
        </w:rPr>
        <w:t>Per raggiungere gli obiettivi UE di neutralità delle emissioni di carbonio, efficienza energetica e fonti rinnovabili, i</w:t>
      </w:r>
      <w:r>
        <w:rPr>
          <w:rStyle w:val="Enfasigrassetto"/>
          <w:rFonts w:ascii="inherit" w:hAnsi="inherit"/>
          <w:color w:val="000000"/>
          <w:sz w:val="27"/>
          <w:szCs w:val="27"/>
          <w:bdr w:val="none" w:sz="0" w:space="0" w:color="auto" w:frame="1"/>
        </w:rPr>
        <w:t>l tasso di rinnovo annuale del patrimonio edilizio dovrà raddoppiare</w:t>
      </w:r>
      <w:r>
        <w:rPr>
          <w:rFonts w:ascii="GentiumBookBasic" w:hAnsi="GentiumBookBasic"/>
          <w:color w:val="000000"/>
          <w:sz w:val="27"/>
          <w:szCs w:val="27"/>
        </w:rPr>
        <w:t> rispetto ad oggi.</w:t>
      </w:r>
    </w:p>
    <w:p w14:paraId="16121452" w14:textId="77777777" w:rsidR="001D48D8" w:rsidRDefault="001D48D8" w:rsidP="001D48D8">
      <w:pPr>
        <w:pStyle w:val="NormaleWeb"/>
        <w:numPr>
          <w:ilvl w:val="0"/>
          <w:numId w:val="9"/>
        </w:numPr>
        <w:shd w:val="clear" w:color="auto" w:fill="F5FBFF"/>
        <w:spacing w:before="0" w:beforeAutospacing="0" w:after="360" w:afterAutospacing="0" w:line="390" w:lineRule="atLeast"/>
        <w:textAlignment w:val="baseline"/>
        <w:rPr>
          <w:rFonts w:ascii="GentiumBookBasic" w:hAnsi="GentiumBookBasic"/>
          <w:color w:val="000000"/>
          <w:sz w:val="27"/>
          <w:szCs w:val="27"/>
        </w:rPr>
      </w:pPr>
      <w:r>
        <w:rPr>
          <w:rFonts w:ascii="GentiumBookBasic" w:hAnsi="GentiumBookBasic"/>
          <w:color w:val="000000"/>
          <w:sz w:val="27"/>
          <w:szCs w:val="27"/>
        </w:rPr>
        <w:t>Negli stati Membri attualmente il tasso di rinnovo annuale del patrimonio edilizio oscilla dallo 0,4% all’1,2%.</w:t>
      </w:r>
    </w:p>
    <w:p w14:paraId="4EA24CF4" w14:textId="77777777" w:rsidR="001D48D8" w:rsidRDefault="001D48D8" w:rsidP="001D48D8">
      <w:pPr>
        <w:pStyle w:val="NormaleWeb"/>
        <w:numPr>
          <w:ilvl w:val="0"/>
          <w:numId w:val="9"/>
        </w:numPr>
        <w:shd w:val="clear" w:color="auto" w:fill="F5FBFF"/>
        <w:spacing w:before="0" w:beforeAutospacing="0" w:after="360" w:afterAutospacing="0" w:line="390" w:lineRule="atLeast"/>
        <w:textAlignment w:val="baseline"/>
        <w:rPr>
          <w:rFonts w:ascii="GentiumBookBasic" w:hAnsi="GentiumBookBasic"/>
          <w:color w:val="000000"/>
          <w:sz w:val="27"/>
          <w:szCs w:val="27"/>
        </w:rPr>
      </w:pPr>
      <w:r>
        <w:rPr>
          <w:rFonts w:ascii="GentiumBookBasic" w:hAnsi="GentiumBookBasic"/>
          <w:color w:val="000000"/>
          <w:sz w:val="27"/>
          <w:szCs w:val="27"/>
        </w:rPr>
        <w:t>Ora si aggiunge anche nelle abitazioni e nelle aziende la variabile Covid-19 con la necessità di riprogettare gli spazi interni per migliorare efficienza energetica, sostenibilità ambientale, salute e benessere.</w:t>
      </w:r>
    </w:p>
    <w:p w14:paraId="2939CDC4" w14:textId="77777777" w:rsidR="001D48D8" w:rsidRPr="001D48D8" w:rsidRDefault="001D48D8" w:rsidP="001D48D8">
      <w:pPr>
        <w:shd w:val="clear" w:color="auto" w:fill="F5FBFF"/>
        <w:spacing w:before="480" w:after="0" w:line="510" w:lineRule="atLeast"/>
        <w:textAlignment w:val="baseline"/>
        <w:outlineLvl w:val="1"/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</w:pPr>
      <w:r w:rsidRPr="001D48D8"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  <w:t>Il fenomeno della povertà energetica</w:t>
      </w:r>
    </w:p>
    <w:p w14:paraId="2997A109" w14:textId="77777777" w:rsidR="001D48D8" w:rsidRPr="001D48D8" w:rsidRDefault="001D48D8" w:rsidP="001D48D8">
      <w:pPr>
        <w:shd w:val="clear" w:color="auto" w:fill="F5FBFF"/>
        <w:spacing w:after="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Interessante il concetto di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povertà energetica 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evidenziato dal Rapporto ENEA: una nuova forma di povertà e rischio sociale che, purtroppo, riguarda un numero sempre maggiore di famiglie.</w:t>
      </w:r>
    </w:p>
    <w:p w14:paraId="39099F07" w14:textId="77777777" w:rsidR="001D48D8" w:rsidRPr="001D48D8" w:rsidRDefault="001D48D8" w:rsidP="001D48D8">
      <w:pPr>
        <w:shd w:val="clear" w:color="auto" w:fill="F5FBFF"/>
        <w:spacing w:after="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La stima del fenomeno della povertà energetica in Italia è stata effettuata dall’ENEA adottando uno strumento ispirato alla misura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 LIHC (Low Income – High Costs)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, impiegata dal Governo britannico, capace di evidenziare il legame tra la povertà energetica e la situazione economica delle famiglie.</w:t>
      </w:r>
    </w:p>
    <w:p w14:paraId="41269155" w14:textId="77777777" w:rsidR="001D48D8" w:rsidRPr="001D48D8" w:rsidRDefault="001D48D8" w:rsidP="001D48D8">
      <w:pPr>
        <w:shd w:val="clear" w:color="auto" w:fill="F5FBFF"/>
        <w:spacing w:after="36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Nel 2016:</w:t>
      </w:r>
    </w:p>
    <w:p w14:paraId="7FA22FC9" w14:textId="77777777" w:rsidR="001D48D8" w:rsidRPr="001D48D8" w:rsidRDefault="001D48D8" w:rsidP="001D48D8">
      <w:pPr>
        <w:numPr>
          <w:ilvl w:val="0"/>
          <w:numId w:val="10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il 10% delle famiglie italiane con i consumi più bassi aveva una spesa elettrica pari al 4,5% della spesa complessiva;</w:t>
      </w:r>
    </w:p>
    <w:p w14:paraId="0C101DEB" w14:textId="77777777" w:rsidR="001D48D8" w:rsidRPr="001D48D8" w:rsidRDefault="001D48D8" w:rsidP="001D48D8">
      <w:pPr>
        <w:numPr>
          <w:ilvl w:val="0"/>
          <w:numId w:val="10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il 10% delle famiglie con i consumi più alti aveva una spesa elettrica pari all’1% della spesa complessiva.</w:t>
      </w:r>
    </w:p>
    <w:p w14:paraId="6158896D" w14:textId="77777777" w:rsidR="001D48D8" w:rsidRPr="001D48D8" w:rsidRDefault="001D48D8" w:rsidP="001D48D8">
      <w:pPr>
        <w:shd w:val="clear" w:color="auto" w:fill="F5FBFF"/>
        <w:spacing w:after="36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Per il periodo 2005-2016, il PNIEC stima che 2,2 milioni di famiglie si trovavano in povertà energetica.</w:t>
      </w:r>
    </w:p>
    <w:p w14:paraId="1C9CF843" w14:textId="77777777" w:rsidR="001D48D8" w:rsidRPr="001D48D8" w:rsidRDefault="001D48D8" w:rsidP="001D48D8">
      <w:pPr>
        <w:shd w:val="clear" w:color="auto" w:fill="F5FBFF"/>
        <w:spacing w:after="36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lastRenderedPageBreak/>
        <w:t>Le politiche per l’efficienza energetica, sottolinea l’ENEA, possono fornire delle risposte concrete a questo problema. L’efficientamento energetico degli immobili viene ritenuto uno strumento chiave per il contrasto a lungo termine del fenomeno e una leva strategica con forti ricadute sociali, economiche, ambientali e occupazionali.</w:t>
      </w:r>
    </w:p>
    <w:p w14:paraId="4CECD7C3" w14:textId="41142F10" w:rsidR="001D48D8" w:rsidRPr="001D48D8" w:rsidRDefault="001D48D8" w:rsidP="001D48D8">
      <w:pPr>
        <w:shd w:val="clear" w:color="auto" w:fill="F5FBFF"/>
        <w:spacing w:after="36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 wp14:anchorId="6490FCA9" wp14:editId="1EABD4EC">
            <wp:extent cx="5731510" cy="2842895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68359" w14:textId="65E4DDB9" w:rsidR="001D48D8" w:rsidRPr="001D48D8" w:rsidRDefault="001D48D8" w:rsidP="001D48D8">
      <w:pPr>
        <w:shd w:val="clear" w:color="auto" w:fill="F5FBFF"/>
        <w:spacing w:after="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</w:p>
    <w:p w14:paraId="4ECCB555" w14:textId="77777777" w:rsidR="001D48D8" w:rsidRPr="001D48D8" w:rsidRDefault="001D48D8" w:rsidP="001D48D8">
      <w:pPr>
        <w:shd w:val="clear" w:color="auto" w:fill="F5FBFF"/>
        <w:spacing w:before="480" w:after="0" w:line="510" w:lineRule="atLeast"/>
        <w:textAlignment w:val="baseline"/>
        <w:outlineLvl w:val="1"/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</w:pPr>
      <w:r w:rsidRPr="001D48D8"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  <w:t>Impatto del Coronavirus sui consumi energetici</w:t>
      </w:r>
    </w:p>
    <w:p w14:paraId="1E555C84" w14:textId="77777777" w:rsidR="001D48D8" w:rsidRPr="001D48D8" w:rsidRDefault="001D48D8" w:rsidP="001D48D8">
      <w:pPr>
        <w:shd w:val="clear" w:color="auto" w:fill="F5FBFF"/>
        <w:spacing w:after="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Con riferimento alle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conseguenze economiche del Corovirus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, il rapporto ENEA effettua, sulla base di dati ed informazioni disponibili a livello nazionale, sia per lo scenario conservativo sia per quello più pessimistico, una valutazione preliminare degli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effetti della pandemia sui consumi energetici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 a livello regionale rispetto allo scenario tendenziale.</w:t>
      </w:r>
    </w:p>
    <w:p w14:paraId="4BCAF73D" w14:textId="77777777" w:rsidR="001D48D8" w:rsidRPr="001D48D8" w:rsidRDefault="001D48D8" w:rsidP="001D48D8">
      <w:pPr>
        <w:shd w:val="clear" w:color="auto" w:fill="F5FBFF"/>
        <w:spacing w:after="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In base alla dinamica ipotizzata per il PIL regionale, la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 riduzione stimata dei consumi energetici finali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 tra il 2019 e il 2020, per l’intero Paese, sarà compresa tra:</w:t>
      </w:r>
    </w:p>
    <w:p w14:paraId="447BBD58" w14:textId="77777777" w:rsidR="001D48D8" w:rsidRPr="001D48D8" w:rsidRDefault="001D48D8" w:rsidP="001D48D8">
      <w:pPr>
        <w:numPr>
          <w:ilvl w:val="0"/>
          <w:numId w:val="11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il -7,4% dell’ipotesi conservativa;</w:t>
      </w:r>
    </w:p>
    <w:p w14:paraId="5A1BBF2B" w14:textId="055F2587" w:rsidR="001D48D8" w:rsidRDefault="001D48D8" w:rsidP="001D48D8">
      <w:pPr>
        <w:numPr>
          <w:ilvl w:val="0"/>
          <w:numId w:val="11"/>
        </w:num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il -11,1% dell’ipotesi pessimistica.</w:t>
      </w:r>
    </w:p>
    <w:p w14:paraId="2E2F728D" w14:textId="77777777" w:rsidR="001D48D8" w:rsidRPr="001D48D8" w:rsidRDefault="001D48D8" w:rsidP="00787A03">
      <w:pPr>
        <w:shd w:val="clear" w:color="auto" w:fill="F5FBFF"/>
        <w:spacing w:after="18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</w:p>
    <w:p w14:paraId="24789ACF" w14:textId="77777777" w:rsidR="001D48D8" w:rsidRPr="001D48D8" w:rsidRDefault="001D48D8" w:rsidP="001D48D8">
      <w:pPr>
        <w:pStyle w:val="Titolo2"/>
        <w:shd w:val="clear" w:color="auto" w:fill="F5FBFF"/>
        <w:spacing w:before="480" w:beforeAutospacing="0" w:after="0" w:afterAutospacing="0" w:line="510" w:lineRule="atLeast"/>
        <w:textAlignment w:val="baseline"/>
        <w:rPr>
          <w:rFonts w:ascii="GentiumBookBasic" w:hAnsi="GentiumBookBasic"/>
          <w:color w:val="000000"/>
          <w:sz w:val="32"/>
          <w:szCs w:val="32"/>
        </w:rPr>
      </w:pPr>
      <w:r w:rsidRPr="001D48D8">
        <w:rPr>
          <w:rFonts w:ascii="GentiumBookBasic" w:hAnsi="GentiumBookBasic"/>
          <w:color w:val="000000"/>
          <w:sz w:val="32"/>
          <w:szCs w:val="32"/>
        </w:rPr>
        <w:lastRenderedPageBreak/>
        <w:t>Efficienza energetica leva per la rinascita post Covid</w:t>
      </w:r>
    </w:p>
    <w:p w14:paraId="41D7B9F6" w14:textId="77777777" w:rsidR="001D48D8" w:rsidRDefault="001D48D8" w:rsidP="00787A03">
      <w:pPr>
        <w:pStyle w:val="NormaleWeb"/>
        <w:shd w:val="clear" w:color="auto" w:fill="F5FBFF"/>
        <w:spacing w:before="0" w:beforeAutospacing="0" w:after="360" w:afterAutospacing="0" w:line="390" w:lineRule="atLeast"/>
        <w:textAlignment w:val="baseline"/>
        <w:rPr>
          <w:rFonts w:ascii="GentiumBookBasic" w:hAnsi="GentiumBookBasic"/>
          <w:color w:val="000000"/>
          <w:sz w:val="27"/>
          <w:szCs w:val="27"/>
        </w:rPr>
      </w:pPr>
      <w:r>
        <w:rPr>
          <w:rFonts w:ascii="GentiumBookBasic" w:hAnsi="GentiumBookBasic"/>
          <w:color w:val="000000"/>
          <w:sz w:val="27"/>
          <w:szCs w:val="27"/>
        </w:rPr>
        <w:t>Presentando il Rapporto ENEA, il presidente Federico Testa ha commentato:</w:t>
      </w:r>
    </w:p>
    <w:p w14:paraId="0C05E624" w14:textId="77777777" w:rsidR="001D48D8" w:rsidRDefault="001D48D8" w:rsidP="001D48D8">
      <w:pPr>
        <w:pStyle w:val="NormaleWeb"/>
        <w:numPr>
          <w:ilvl w:val="0"/>
          <w:numId w:val="11"/>
        </w:numPr>
        <w:shd w:val="clear" w:color="auto" w:fill="F5FBFF"/>
        <w:spacing w:before="0" w:beforeAutospacing="0" w:after="0" w:afterAutospacing="0" w:line="420" w:lineRule="atLeast"/>
        <w:textAlignment w:val="baseline"/>
        <w:rPr>
          <w:rFonts w:ascii="inherit" w:hAnsi="inherit"/>
          <w:i/>
          <w:iCs/>
          <w:color w:val="000000"/>
          <w:sz w:val="30"/>
          <w:szCs w:val="30"/>
        </w:rPr>
      </w:pPr>
      <w:r>
        <w:rPr>
          <w:rFonts w:ascii="inherit" w:hAnsi="inherit"/>
          <w:i/>
          <w:iCs/>
          <w:color w:val="000000"/>
          <w:sz w:val="30"/>
          <w:szCs w:val="30"/>
        </w:rPr>
        <w:t>I risultati che presentiamo evidenziano che</w:t>
      </w:r>
      <w:r>
        <w:rPr>
          <w:rStyle w:val="Enfasigrassetto"/>
          <w:rFonts w:ascii="inherit" w:hAnsi="inherit"/>
          <w:i/>
          <w:iCs/>
          <w:color w:val="000000"/>
          <w:sz w:val="30"/>
          <w:szCs w:val="30"/>
          <w:bdr w:val="none" w:sz="0" w:space="0" w:color="auto" w:frame="1"/>
        </w:rPr>
        <w:t> l’efficienza energetica è una leva efficace</w:t>
      </w:r>
      <w:r>
        <w:rPr>
          <w:rFonts w:ascii="inherit" w:hAnsi="inherit"/>
          <w:i/>
          <w:iCs/>
          <w:color w:val="000000"/>
          <w:sz w:val="30"/>
          <w:szCs w:val="30"/>
        </w:rPr>
        <w:t> per risparmiare energia, ridurre le bollette, contrastare le emissioni inquinanti, ma anche per la crescita e l’occupazione.</w:t>
      </w:r>
    </w:p>
    <w:p w14:paraId="595AA966" w14:textId="77777777" w:rsidR="001D48D8" w:rsidRDefault="001D48D8" w:rsidP="001D48D8">
      <w:pPr>
        <w:pStyle w:val="NormaleWeb"/>
        <w:numPr>
          <w:ilvl w:val="0"/>
          <w:numId w:val="11"/>
        </w:numPr>
        <w:shd w:val="clear" w:color="auto" w:fill="F5FBFF"/>
        <w:spacing w:before="0" w:beforeAutospacing="0" w:after="0" w:afterAutospacing="0" w:line="420" w:lineRule="atLeast"/>
        <w:textAlignment w:val="baseline"/>
        <w:rPr>
          <w:rFonts w:ascii="inherit" w:hAnsi="inherit"/>
          <w:i/>
          <w:iCs/>
          <w:color w:val="000000"/>
          <w:sz w:val="30"/>
          <w:szCs w:val="30"/>
        </w:rPr>
      </w:pPr>
      <w:r>
        <w:rPr>
          <w:rFonts w:ascii="inherit" w:hAnsi="inherit"/>
          <w:i/>
          <w:iCs/>
          <w:color w:val="000000"/>
          <w:sz w:val="30"/>
          <w:szCs w:val="30"/>
        </w:rPr>
        <w:t>In questa fase di ripartenza post-Covid dobbiamo saper cogliere al meglio queste opportunità e iniziative, come il </w:t>
      </w:r>
      <w:r>
        <w:rPr>
          <w:rStyle w:val="Enfasigrassetto"/>
          <w:rFonts w:ascii="inherit" w:hAnsi="inherit"/>
          <w:i/>
          <w:iCs/>
          <w:color w:val="000000"/>
          <w:sz w:val="30"/>
          <w:szCs w:val="30"/>
          <w:bdr w:val="none" w:sz="0" w:space="0" w:color="auto" w:frame="1"/>
        </w:rPr>
        <w:t>Superbonus</w:t>
      </w:r>
      <w:r>
        <w:rPr>
          <w:rFonts w:ascii="inherit" w:hAnsi="inherit"/>
          <w:i/>
          <w:iCs/>
          <w:color w:val="000000"/>
          <w:sz w:val="30"/>
          <w:szCs w:val="30"/>
        </w:rPr>
        <w:t>, che vanno nella giusta direzione.</w:t>
      </w:r>
    </w:p>
    <w:p w14:paraId="0621A259" w14:textId="77777777" w:rsidR="001D48D8" w:rsidRDefault="001D48D8" w:rsidP="001D48D8">
      <w:pPr>
        <w:pStyle w:val="NormaleWeb"/>
        <w:numPr>
          <w:ilvl w:val="0"/>
          <w:numId w:val="11"/>
        </w:numPr>
        <w:shd w:val="clear" w:color="auto" w:fill="F5FBFF"/>
        <w:spacing w:before="0" w:beforeAutospacing="0" w:after="0" w:afterAutospacing="0" w:line="420" w:lineRule="atLeast"/>
        <w:textAlignment w:val="baseline"/>
        <w:rPr>
          <w:rFonts w:ascii="inherit" w:hAnsi="inherit"/>
          <w:i/>
          <w:iCs/>
          <w:color w:val="000000"/>
          <w:sz w:val="30"/>
          <w:szCs w:val="30"/>
        </w:rPr>
      </w:pPr>
      <w:r>
        <w:rPr>
          <w:rFonts w:ascii="inherit" w:hAnsi="inherit"/>
          <w:i/>
          <w:iCs/>
          <w:color w:val="000000"/>
          <w:sz w:val="30"/>
          <w:szCs w:val="30"/>
        </w:rPr>
        <w:t>Ampliare il raggio di azione degli interventi consentirà di amplificare le ricadute dell’efficienza e creare una filiera nazionale della </w:t>
      </w:r>
      <w:r>
        <w:rPr>
          <w:rStyle w:val="Enfasigrassetto"/>
          <w:rFonts w:ascii="inherit" w:hAnsi="inherit"/>
          <w:i/>
          <w:iCs/>
          <w:color w:val="000000"/>
          <w:sz w:val="30"/>
          <w:szCs w:val="30"/>
          <w:bdr w:val="none" w:sz="0" w:space="0" w:color="auto" w:frame="1"/>
        </w:rPr>
        <w:t>white economy</w:t>
      </w:r>
      <w:r>
        <w:rPr>
          <w:rFonts w:ascii="inherit" w:hAnsi="inherit"/>
          <w:i/>
          <w:iCs/>
          <w:color w:val="000000"/>
          <w:sz w:val="30"/>
          <w:szCs w:val="30"/>
        </w:rPr>
        <w:t>, rilanciando comparti strategici come l’edilizia e la produzione di beni e servizi.</w:t>
      </w:r>
    </w:p>
    <w:p w14:paraId="4DA6413F" w14:textId="77777777" w:rsidR="001D48D8" w:rsidRPr="001D48D8" w:rsidRDefault="001D48D8" w:rsidP="001D48D8">
      <w:pPr>
        <w:shd w:val="clear" w:color="auto" w:fill="F5FBFF"/>
        <w:spacing w:before="480" w:after="0" w:line="510" w:lineRule="atLeast"/>
        <w:textAlignment w:val="baseline"/>
        <w:outlineLvl w:val="1"/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</w:pPr>
      <w:r w:rsidRPr="001D48D8">
        <w:rPr>
          <w:rFonts w:ascii="GentiumBookBasic" w:eastAsia="Times New Roman" w:hAnsi="GentiumBookBasic" w:cs="Times New Roman"/>
          <w:b/>
          <w:bCs/>
          <w:color w:val="000000"/>
          <w:sz w:val="32"/>
          <w:szCs w:val="32"/>
          <w:lang w:eastAsia="it-IT"/>
        </w:rPr>
        <w:t>Regole per l’efficienza energetica nelle imprese</w:t>
      </w:r>
    </w:p>
    <w:p w14:paraId="7E21FDAD" w14:textId="77777777" w:rsidR="001D48D8" w:rsidRPr="001D48D8" w:rsidRDefault="001D48D8" w:rsidP="001D48D8">
      <w:pPr>
        <w:shd w:val="clear" w:color="auto" w:fill="F5FBFF"/>
        <w:spacing w:after="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Durante il webinar di presentazione dei Rapporti ENEA, sono emersi alcuni fattori critici per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fare efficienza energetica in azienda</w:t>
      </w: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 riassunti in 5 punti regole fondamentali:</w:t>
      </w:r>
    </w:p>
    <w:p w14:paraId="790DD659" w14:textId="77777777" w:rsidR="001D48D8" w:rsidRPr="001D48D8" w:rsidRDefault="001D48D8" w:rsidP="001D48D8">
      <w:pPr>
        <w:numPr>
          <w:ilvl w:val="0"/>
          <w:numId w:val="12"/>
        </w:numPr>
        <w:shd w:val="clear" w:color="auto" w:fill="F5FBFF"/>
        <w:spacing w:after="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la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 diagnosi energetica</w:t>
      </w: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, da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obbligo normativo</w:t>
      </w: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, deve diventare uno strumento di analisi, un’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opportunità</w:t>
      </w: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 per analizzare l’impronta energetica della propria azienda e capire come migliorarla;</w:t>
      </w:r>
    </w:p>
    <w:p w14:paraId="22E501F4" w14:textId="3DEC6E7E" w:rsidR="001D48D8" w:rsidRPr="001D48D8" w:rsidRDefault="001D48D8" w:rsidP="001D48D8">
      <w:pPr>
        <w:numPr>
          <w:ilvl w:val="0"/>
          <w:numId w:val="12"/>
        </w:numPr>
        <w:shd w:val="clear" w:color="auto" w:fill="F5FBFF"/>
        <w:spacing w:after="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la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qualità dell’energia</w:t>
      </w: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 deve essere vista come una</w:t>
      </w:r>
      <w:r w:rsidR="00787A03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 xml:space="preserve"> delle</w:t>
      </w: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 xml:space="preserve"> principali aree di miglioramento in termini di consumi energetici e non solo per le aziende energivore: una cattiva power quality può portare a enormi sprechi di energia, oltre che a blocchi produttivi e a perdite economiche;</w:t>
      </w:r>
    </w:p>
    <w:p w14:paraId="4688BD97" w14:textId="77777777" w:rsidR="001D48D8" w:rsidRPr="001D48D8" w:rsidRDefault="001D48D8" w:rsidP="001D48D8">
      <w:pPr>
        <w:numPr>
          <w:ilvl w:val="0"/>
          <w:numId w:val="12"/>
        </w:numPr>
        <w:shd w:val="clear" w:color="auto" w:fill="F5FBFF"/>
        <w:spacing w:after="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il ruolo dell’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energy manager</w:t>
      </w: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: avere, soprattutto nelle aziende energivore, una figura interna preposta alle attività di gestione e monitoraggio degli interventi di efficienza energetica consente di raggiungere la piena consapevolezza di quali sono i propri consumi energetici e di come migliorarli. Un dettaglio non da poco capace di fare la differenza;</w:t>
      </w:r>
    </w:p>
    <w:p w14:paraId="06DE1C6E" w14:textId="77777777" w:rsidR="001D48D8" w:rsidRPr="001D48D8" w:rsidRDefault="001D48D8" w:rsidP="001D48D8">
      <w:pPr>
        <w:numPr>
          <w:ilvl w:val="0"/>
          <w:numId w:val="12"/>
        </w:numPr>
        <w:shd w:val="clear" w:color="auto" w:fill="F5FBFF"/>
        <w:spacing w:after="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lastRenderedPageBreak/>
        <w:t>il </w:t>
      </w: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monitoraggio energetico </w:t>
      </w: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ha un ruolo cruciale perché consente di conoscere lo stato reale dei consumi, effettuare analisi consuntive e predittive in base a specifici interventi di efficientamento energetico, nonché di fare fondamentali scelte data-driven;</w:t>
      </w:r>
    </w:p>
    <w:p w14:paraId="11F561E2" w14:textId="77777777" w:rsidR="001D48D8" w:rsidRPr="001D48D8" w:rsidRDefault="001D48D8" w:rsidP="001D48D8">
      <w:pPr>
        <w:numPr>
          <w:ilvl w:val="0"/>
          <w:numId w:val="12"/>
        </w:numPr>
        <w:shd w:val="clear" w:color="auto" w:fill="F5FBFF"/>
        <w:spacing w:after="0" w:line="390" w:lineRule="atLeast"/>
        <w:ind w:left="1080" w:right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</w:pPr>
      <w:r w:rsidRPr="001D48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payback period</w:t>
      </w:r>
      <w:r w:rsidRPr="001D48D8">
        <w:rPr>
          <w:rFonts w:ascii="inherit" w:eastAsia="Times New Roman" w:hAnsi="inherit" w:cs="Times New Roman"/>
          <w:color w:val="000000"/>
          <w:sz w:val="27"/>
          <w:szCs w:val="27"/>
          <w:lang w:eastAsia="it-IT"/>
        </w:rPr>
        <w:t>: il ritorno sull’investimento è un mezzo importante per capire la direzione da prendere, l’intervallo di tempo varia ovviamente a seconda dell’area di intervento. Ad esempio il tempo di ritorno medio per interventi relativi a illuminazione e aria compressa è di 3-4 anni, per interventi nelle aree generale e linee produttive è di 5 anni e per la produzione di energia da fonti rinnovabili è di 7 anni.</w:t>
      </w:r>
    </w:p>
    <w:p w14:paraId="0DB8DE3E" w14:textId="77777777" w:rsidR="001D48D8" w:rsidRPr="001D48D8" w:rsidRDefault="001D48D8" w:rsidP="001D48D8">
      <w:pPr>
        <w:shd w:val="clear" w:color="auto" w:fill="F5FBFF"/>
        <w:spacing w:after="0" w:line="390" w:lineRule="atLeast"/>
        <w:textAlignment w:val="baseline"/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</w:pPr>
      <w:r w:rsidRPr="001D48D8">
        <w:rPr>
          <w:rFonts w:ascii="GentiumBookBasic" w:eastAsia="Times New Roman" w:hAnsi="GentiumBookBasic" w:cs="Times New Roman"/>
          <w:color w:val="000000"/>
          <w:sz w:val="27"/>
          <w:szCs w:val="27"/>
          <w:lang w:eastAsia="it-IT"/>
        </w:rPr>
        <w:t> </w:t>
      </w:r>
    </w:p>
    <w:p w14:paraId="2BB3B372" w14:textId="2FD7E4C8" w:rsidR="001D48D8" w:rsidRPr="001D48D8" w:rsidRDefault="001D48D8" w:rsidP="001D48D8">
      <w:pPr>
        <w:shd w:val="clear" w:color="auto" w:fill="F5FB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</w:pPr>
    </w:p>
    <w:p w14:paraId="5A532C0B" w14:textId="714175EE" w:rsidR="001D48D8" w:rsidRDefault="001D48D8"/>
    <w:sectPr w:rsidR="001D4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BookBasic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820D4"/>
    <w:multiLevelType w:val="multilevel"/>
    <w:tmpl w:val="1DC0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C7527"/>
    <w:multiLevelType w:val="multilevel"/>
    <w:tmpl w:val="3B9C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A583E"/>
    <w:multiLevelType w:val="multilevel"/>
    <w:tmpl w:val="2B9E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C3050"/>
    <w:multiLevelType w:val="multilevel"/>
    <w:tmpl w:val="5FFC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C1E19"/>
    <w:multiLevelType w:val="multilevel"/>
    <w:tmpl w:val="AC2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332F5"/>
    <w:multiLevelType w:val="multilevel"/>
    <w:tmpl w:val="44AA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10E30"/>
    <w:multiLevelType w:val="multilevel"/>
    <w:tmpl w:val="12D2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2031E"/>
    <w:multiLevelType w:val="multilevel"/>
    <w:tmpl w:val="9BA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753D7"/>
    <w:multiLevelType w:val="multilevel"/>
    <w:tmpl w:val="7192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925A2"/>
    <w:multiLevelType w:val="multilevel"/>
    <w:tmpl w:val="E292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D30818"/>
    <w:multiLevelType w:val="multilevel"/>
    <w:tmpl w:val="86FA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010D2"/>
    <w:multiLevelType w:val="multilevel"/>
    <w:tmpl w:val="0420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D8"/>
    <w:rsid w:val="001D48D8"/>
    <w:rsid w:val="0078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2D29"/>
  <w15:chartTrackingRefBased/>
  <w15:docId w15:val="{0444F9EE-C2F8-4AB3-98D5-76E7F010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D4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D48D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D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D4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29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60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2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8894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38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 Andrea Banchieri</dc:creator>
  <cp:keywords/>
  <dc:description/>
  <cp:lastModifiedBy>Oreste Andrea Banchieri</cp:lastModifiedBy>
  <cp:revision>1</cp:revision>
  <dcterms:created xsi:type="dcterms:W3CDTF">2020-12-08T10:20:00Z</dcterms:created>
  <dcterms:modified xsi:type="dcterms:W3CDTF">2020-12-08T10:39:00Z</dcterms:modified>
</cp:coreProperties>
</file>